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74D63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74D63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74D63">
              <w:rPr>
                <w:bCs/>
                <w:snapToGrid/>
                <w:sz w:val="24"/>
                <w:szCs w:val="24"/>
              </w:rPr>
              <w:t xml:space="preserve">№ </w:t>
            </w:r>
            <w:proofErr w:type="gramStart"/>
            <w:r w:rsidRPr="00774D63">
              <w:rPr>
                <w:bCs/>
                <w:snapToGrid/>
                <w:sz w:val="24"/>
                <w:szCs w:val="24"/>
              </w:rPr>
              <w:t>п</w:t>
            </w:r>
            <w:proofErr w:type="gramEnd"/>
            <w:r w:rsidRPr="00774D63">
              <w:rPr>
                <w:bCs/>
                <w:snapToGrid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74D63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74D63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74D63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74D63" w:rsidTr="00936056">
        <w:trPr>
          <w:trHeight w:val="1371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74D63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АО «ЦС «Звездочка»</w:t>
            </w:r>
          </w:p>
          <w:p w:rsidR="00535E61" w:rsidRPr="00774D63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Место нахождения: Архангельска</w:t>
            </w:r>
            <w:r w:rsidR="00BA5AD9" w:rsidRPr="00774D63">
              <w:rPr>
                <w:sz w:val="24"/>
                <w:szCs w:val="24"/>
              </w:rPr>
              <w:t>я область, г. Северодвинск, пр.</w:t>
            </w:r>
            <w:r w:rsidR="007A0338" w:rsidRPr="00774D63">
              <w:rPr>
                <w:sz w:val="24"/>
                <w:szCs w:val="24"/>
              </w:rPr>
              <w:t xml:space="preserve"> </w:t>
            </w:r>
            <w:r w:rsidRPr="00774D63">
              <w:rPr>
                <w:sz w:val="24"/>
                <w:szCs w:val="24"/>
              </w:rPr>
              <w:t>Машиностроителей, д.  12</w:t>
            </w:r>
          </w:p>
          <w:p w:rsidR="00535E61" w:rsidRPr="00774D63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74D63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74D63" w:rsidTr="00936056">
        <w:trPr>
          <w:trHeight w:val="151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74D63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74D63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74D63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74D63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74D63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74D63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74D63" w:rsidTr="00936056">
        <w:trPr>
          <w:trHeight w:val="210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FD7F0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Начальник </w:t>
            </w:r>
            <w:r w:rsidR="007A0338" w:rsidRPr="00774D63">
              <w:rPr>
                <w:sz w:val="24"/>
                <w:szCs w:val="24"/>
              </w:rPr>
              <w:t>отдела</w:t>
            </w:r>
            <w:r w:rsidRPr="00774D63">
              <w:rPr>
                <w:sz w:val="24"/>
                <w:szCs w:val="24"/>
              </w:rPr>
              <w:t xml:space="preserve"> организации закупок Ставенская Ольга Владимировна, e-mail:</w:t>
            </w:r>
            <w:r w:rsidRPr="00774D63">
              <w:rPr>
                <w:b/>
                <w:sz w:val="24"/>
                <w:szCs w:val="24"/>
              </w:rPr>
              <w:t xml:space="preserve"> </w:t>
            </w:r>
            <w:r w:rsidRPr="00774D63">
              <w:rPr>
                <w:sz w:val="24"/>
                <w:szCs w:val="24"/>
              </w:rPr>
              <w:t>n-boz35srz@mail.ru</w:t>
            </w:r>
          </w:p>
        </w:tc>
      </w:tr>
      <w:tr w:rsidR="00535E61" w:rsidRPr="00774D63" w:rsidTr="00936056">
        <w:trPr>
          <w:trHeight w:val="193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74D63" w:rsidTr="00936056">
        <w:trPr>
          <w:trHeight w:val="300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74D63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6" w:history="1">
              <w:r w:rsidRPr="00774D63">
                <w:rPr>
                  <w:sz w:val="24"/>
                  <w:szCs w:val="24"/>
                </w:rPr>
                <w:t>www.astgoz.ru</w:t>
              </w:r>
            </w:hyperlink>
            <w:r w:rsidRPr="00774D63">
              <w:rPr>
                <w:sz w:val="24"/>
                <w:szCs w:val="24"/>
              </w:rPr>
              <w:t xml:space="preserve"> (далее – ЭТП, АСТ ГОЗ, ЭТП АСТ ГОЗ)</w:t>
            </w:r>
          </w:p>
        </w:tc>
      </w:tr>
      <w:tr w:rsidR="00535E61" w:rsidRPr="00774D63" w:rsidTr="00936056">
        <w:trPr>
          <w:trHeight w:val="30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74D63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8D7707" w:rsidRPr="00774D63" w:rsidRDefault="00737DD9" w:rsidP="00737DD9">
            <w:pPr>
              <w:pStyle w:val="a8"/>
              <w:ind w:firstLine="0"/>
              <w:rPr>
                <w:szCs w:val="24"/>
              </w:rPr>
            </w:pPr>
            <w:r w:rsidRPr="00774D63">
              <w:rPr>
                <w:bCs/>
                <w:szCs w:val="24"/>
              </w:rPr>
              <w:t>Полуфабрикаты</w:t>
            </w:r>
            <w:r w:rsidR="00E62000" w:rsidRPr="00774D63">
              <w:rPr>
                <w:bCs/>
                <w:szCs w:val="24"/>
              </w:rPr>
              <w:t xml:space="preserve"> </w:t>
            </w:r>
            <w:r w:rsidR="00FE0A34" w:rsidRPr="00774D63">
              <w:rPr>
                <w:bCs/>
                <w:szCs w:val="24"/>
              </w:rPr>
              <w:t xml:space="preserve">из медных сплавов в количестве </w:t>
            </w:r>
            <w:r w:rsidRPr="00774D63">
              <w:rPr>
                <w:bCs/>
                <w:szCs w:val="24"/>
              </w:rPr>
              <w:t>476</w:t>
            </w:r>
            <w:r w:rsidR="00FE0A34" w:rsidRPr="00774D63">
              <w:rPr>
                <w:bCs/>
                <w:szCs w:val="24"/>
              </w:rPr>
              <w:t xml:space="preserve"> кг</w:t>
            </w:r>
            <w:r w:rsidR="00B8159B" w:rsidRPr="00774D63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</w:tc>
      </w:tr>
      <w:tr w:rsidR="00535E61" w:rsidRPr="00774D63" w:rsidTr="00936056">
        <w:trPr>
          <w:trHeight w:val="39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74D63">
                <w:rPr>
                  <w:szCs w:val="24"/>
                </w:rPr>
                <w:t>183017, г</w:t>
              </w:r>
            </w:smartTag>
            <w:r w:rsidRPr="00774D63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74D63" w:rsidTr="00936056">
        <w:trPr>
          <w:trHeight w:val="887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74D63" w:rsidRDefault="00737DD9" w:rsidP="00737DD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362 520</w:t>
            </w:r>
            <w:r w:rsidR="000758B5" w:rsidRPr="00774D63">
              <w:rPr>
                <w:sz w:val="24"/>
                <w:szCs w:val="24"/>
              </w:rPr>
              <w:t xml:space="preserve"> (</w:t>
            </w:r>
            <w:r w:rsidRPr="00774D63">
              <w:rPr>
                <w:sz w:val="24"/>
                <w:szCs w:val="24"/>
              </w:rPr>
              <w:t>Триста шестьдесят две тысячи пятьсот двадцать</w:t>
            </w:r>
            <w:r w:rsidR="000758B5" w:rsidRPr="00774D63">
              <w:rPr>
                <w:sz w:val="24"/>
                <w:szCs w:val="24"/>
              </w:rPr>
              <w:t>) руб. 00 коп</w:t>
            </w:r>
            <w:proofErr w:type="gramStart"/>
            <w:r w:rsidR="000758B5" w:rsidRPr="00774D63">
              <w:rPr>
                <w:sz w:val="24"/>
                <w:szCs w:val="24"/>
              </w:rPr>
              <w:t>.</w:t>
            </w:r>
            <w:proofErr w:type="gramEnd"/>
            <w:r w:rsidR="000758B5" w:rsidRPr="00774D63">
              <w:rPr>
                <w:sz w:val="24"/>
                <w:szCs w:val="24"/>
              </w:rPr>
              <w:t xml:space="preserve"> </w:t>
            </w:r>
            <w:proofErr w:type="gramStart"/>
            <w:r w:rsidR="000758B5" w:rsidRPr="00774D63">
              <w:rPr>
                <w:sz w:val="24"/>
                <w:szCs w:val="24"/>
              </w:rPr>
              <w:t>с</w:t>
            </w:r>
            <w:proofErr w:type="gramEnd"/>
            <w:r w:rsidR="000758B5" w:rsidRPr="00774D63">
              <w:rPr>
                <w:sz w:val="24"/>
                <w:szCs w:val="24"/>
              </w:rPr>
              <w:t xml:space="preserve"> учетом НДС 20%</w:t>
            </w:r>
          </w:p>
        </w:tc>
      </w:tr>
      <w:tr w:rsidR="00535E61" w:rsidRPr="00774D63" w:rsidTr="00936056">
        <w:trPr>
          <w:trHeight w:val="301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74D63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Цена договора включает</w:t>
            </w:r>
            <w:r w:rsidR="00BA5AD9" w:rsidRPr="00774D63">
              <w:rPr>
                <w:sz w:val="24"/>
                <w:szCs w:val="24"/>
              </w:rPr>
              <w:t xml:space="preserve"> в</w:t>
            </w:r>
            <w:r w:rsidRPr="00774D63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74D63">
              <w:rPr>
                <w:sz w:val="24"/>
                <w:szCs w:val="24"/>
              </w:rPr>
              <w:t>в том числе</w:t>
            </w:r>
            <w:r w:rsidRPr="00774D63">
              <w:rPr>
                <w:sz w:val="24"/>
                <w:szCs w:val="24"/>
              </w:rPr>
              <w:t xml:space="preserve"> </w:t>
            </w:r>
            <w:r w:rsidR="00BA5AD9" w:rsidRPr="00774D63">
              <w:rPr>
                <w:sz w:val="24"/>
                <w:szCs w:val="24"/>
              </w:rPr>
              <w:t xml:space="preserve">транспортные расходы, </w:t>
            </w:r>
            <w:r w:rsidRPr="00774D63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74D63">
              <w:rPr>
                <w:sz w:val="24"/>
                <w:szCs w:val="24"/>
              </w:rPr>
              <w:t>е</w:t>
            </w:r>
            <w:r w:rsidRPr="00774D63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74D63" w:rsidTr="00936056">
        <w:trPr>
          <w:trHeight w:val="28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74D63" w:rsidTr="00936056">
        <w:trPr>
          <w:trHeight w:val="28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Документы, которые должны быть представлены </w:t>
            </w:r>
            <w:r w:rsidRPr="00774D63">
              <w:rPr>
                <w:sz w:val="24"/>
                <w:szCs w:val="24"/>
              </w:rPr>
              <w:lastRenderedPageBreak/>
              <w:t>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74D63" w:rsidRDefault="00535E61" w:rsidP="00535E61">
            <w:pPr>
              <w:pStyle w:val="a8"/>
              <w:ind w:firstLine="0"/>
              <w:rPr>
                <w:szCs w:val="24"/>
              </w:rPr>
            </w:pPr>
            <w:r w:rsidRPr="00774D63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74D63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74D63">
              <w:rPr>
                <w:szCs w:val="24"/>
              </w:rPr>
              <w:t xml:space="preserve">Документы, содержащие предложение участника о функциональных характеристиках (потребительских свойствах) </w:t>
            </w:r>
            <w:r w:rsidRPr="00774D63">
              <w:rPr>
                <w:szCs w:val="24"/>
              </w:rPr>
              <w:lastRenderedPageBreak/>
              <w:t>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74D63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74D63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74D63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74D63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74D63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74D63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74D63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74D63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74D63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74D63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B8159B">
            <w:pPr>
              <w:pStyle w:val="a8"/>
              <w:ind w:firstLine="0"/>
              <w:rPr>
                <w:szCs w:val="24"/>
              </w:rPr>
            </w:pPr>
            <w:r w:rsidRPr="00774D63">
              <w:rPr>
                <w:szCs w:val="24"/>
              </w:rPr>
              <w:t>не требуется</w:t>
            </w:r>
          </w:p>
        </w:tc>
      </w:tr>
      <w:tr w:rsidR="00535E61" w:rsidRPr="00774D63" w:rsidTr="00936056">
        <w:trPr>
          <w:trHeight w:val="195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74D63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74D63" w:rsidTr="00936056">
        <w:trPr>
          <w:trHeight w:val="473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74D63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74D63" w:rsidTr="00936056">
        <w:trPr>
          <w:trHeight w:val="720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74D63">
              <w:rPr>
                <w:snapToGrid w:val="0"/>
              </w:rPr>
              <w:t>Реквизиты для перечисления</w:t>
            </w:r>
          </w:p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74D63" w:rsidTr="00936056">
        <w:trPr>
          <w:trHeight w:val="390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74D63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74D63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74D63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74D63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7" w:history="1">
              <w:r w:rsidRPr="00774D63">
                <w:rPr>
                  <w:sz w:val="24"/>
                  <w:szCs w:val="24"/>
                </w:rPr>
                <w:t>www.zakupki.gov.ru</w:t>
              </w:r>
            </w:hyperlink>
            <w:r w:rsidRPr="00774D63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8" w:history="1">
              <w:r w:rsidRPr="00774D63">
                <w:rPr>
                  <w:sz w:val="24"/>
                  <w:szCs w:val="24"/>
                </w:rPr>
                <w:t>www.astgoz.ru</w:t>
              </w:r>
            </w:hyperlink>
            <w:r w:rsidRPr="00774D63">
              <w:rPr>
                <w:sz w:val="24"/>
                <w:szCs w:val="24"/>
              </w:rPr>
              <w:t>. В ЕИС закупочная документация находится в</w:t>
            </w:r>
            <w:proofErr w:type="gramEnd"/>
            <w:r w:rsidRPr="00774D63">
              <w:rPr>
                <w:sz w:val="24"/>
                <w:szCs w:val="24"/>
              </w:rPr>
              <w:t xml:space="preserve"> открытом </w:t>
            </w:r>
            <w:proofErr w:type="gramStart"/>
            <w:r w:rsidRPr="00774D63">
              <w:rPr>
                <w:sz w:val="24"/>
                <w:szCs w:val="24"/>
              </w:rPr>
              <w:t>доступе</w:t>
            </w:r>
            <w:proofErr w:type="gramEnd"/>
            <w:r w:rsidRPr="00774D63">
              <w:rPr>
                <w:sz w:val="24"/>
                <w:szCs w:val="24"/>
              </w:rPr>
              <w:t>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74D63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74D63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proofErr w:type="gramStart"/>
            <w:r w:rsidRPr="00774D63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</w:t>
            </w:r>
            <w:proofErr w:type="gramEnd"/>
            <w:r w:rsidRPr="00774D63">
              <w:rPr>
                <w:sz w:val="24"/>
                <w:szCs w:val="24"/>
              </w:rPr>
              <w:t xml:space="preserve">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74D63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ЭТП АСТ ГОЗ, по адресу </w:t>
            </w:r>
            <w:hyperlink r:id="rId9" w:history="1">
              <w:r w:rsidRPr="00774D63">
                <w:rPr>
                  <w:sz w:val="24"/>
                  <w:szCs w:val="24"/>
                </w:rPr>
                <w:t>www.astgoz.ru</w:t>
              </w:r>
            </w:hyperlink>
            <w:r w:rsidRPr="00774D63">
              <w:rPr>
                <w:sz w:val="24"/>
                <w:szCs w:val="24"/>
              </w:rPr>
              <w:t xml:space="preserve"> </w:t>
            </w:r>
          </w:p>
        </w:tc>
      </w:tr>
      <w:tr w:rsidR="00535E61" w:rsidRPr="00774D63" w:rsidTr="00936056">
        <w:trPr>
          <w:trHeight w:val="306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74D63" w:rsidRDefault="00727BA8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«04» июня</w:t>
            </w:r>
            <w:r w:rsidR="00535E61" w:rsidRPr="00774D63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74D63" w:rsidTr="00936056">
        <w:trPr>
          <w:trHeight w:val="729"/>
        </w:trPr>
        <w:tc>
          <w:tcPr>
            <w:tcW w:w="774" w:type="dxa"/>
            <w:vMerge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74D63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74D63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9 часов 00 минут (</w:t>
            </w:r>
            <w:proofErr w:type="spellStart"/>
            <w:r w:rsidRPr="00774D63">
              <w:rPr>
                <w:sz w:val="24"/>
                <w:szCs w:val="24"/>
              </w:rPr>
              <w:t>мск</w:t>
            </w:r>
            <w:proofErr w:type="spellEnd"/>
            <w:r w:rsidRPr="00774D63">
              <w:rPr>
                <w:sz w:val="24"/>
                <w:szCs w:val="24"/>
              </w:rPr>
              <w:t>.)</w:t>
            </w:r>
          </w:p>
          <w:p w:rsidR="00535E61" w:rsidRPr="00774D63" w:rsidRDefault="00727BA8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«14» июня</w:t>
            </w:r>
            <w:r w:rsidR="00535E61" w:rsidRPr="00774D63">
              <w:rPr>
                <w:sz w:val="24"/>
                <w:szCs w:val="24"/>
                <w:highlight w:val="lightGray"/>
              </w:rPr>
              <w:t xml:space="preserve"> 2019 года</w:t>
            </w:r>
            <w:bookmarkStart w:id="5" w:name="_GoBack"/>
            <w:bookmarkEnd w:id="5"/>
          </w:p>
        </w:tc>
      </w:tr>
      <w:tr w:rsidR="00535E61" w:rsidRPr="00774D63" w:rsidTr="00936056">
        <w:trPr>
          <w:trHeight w:val="82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 xml:space="preserve"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</w:t>
            </w:r>
            <w:proofErr w:type="gramStart"/>
            <w:r w:rsidRPr="00774D63">
              <w:rPr>
                <w:sz w:val="24"/>
                <w:szCs w:val="24"/>
              </w:rPr>
              <w:t>участие</w:t>
            </w:r>
            <w:proofErr w:type="gramEnd"/>
            <w:r w:rsidRPr="00774D63">
              <w:rPr>
                <w:sz w:val="24"/>
                <w:szCs w:val="24"/>
              </w:rPr>
              <w:t xml:space="preserve">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74D63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 w:rsidRPr="00774D63">
              <w:rPr>
                <w:sz w:val="24"/>
                <w:szCs w:val="24"/>
              </w:rPr>
              <w:t>8</w:t>
            </w:r>
            <w:r w:rsidRPr="00774D63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74D63" w:rsidTr="00936056">
        <w:trPr>
          <w:trHeight w:val="82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74D63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74D63" w:rsidTr="00936056">
        <w:trPr>
          <w:trHeight w:val="825"/>
        </w:trPr>
        <w:tc>
          <w:tcPr>
            <w:tcW w:w="774" w:type="dxa"/>
          </w:tcPr>
          <w:p w:rsidR="00535E61" w:rsidRPr="00774D63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74D63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74D63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758B5"/>
    <w:rsid w:val="00093C71"/>
    <w:rsid w:val="000E27F0"/>
    <w:rsid w:val="00101C2F"/>
    <w:rsid w:val="0014296F"/>
    <w:rsid w:val="00184E87"/>
    <w:rsid w:val="00296174"/>
    <w:rsid w:val="00303F02"/>
    <w:rsid w:val="003C6C49"/>
    <w:rsid w:val="00415ABB"/>
    <w:rsid w:val="00535E61"/>
    <w:rsid w:val="00727BA8"/>
    <w:rsid w:val="00737DD9"/>
    <w:rsid w:val="00774D63"/>
    <w:rsid w:val="007A01F1"/>
    <w:rsid w:val="007A0338"/>
    <w:rsid w:val="007B6EBE"/>
    <w:rsid w:val="007C7190"/>
    <w:rsid w:val="008D3212"/>
    <w:rsid w:val="008D7707"/>
    <w:rsid w:val="00936056"/>
    <w:rsid w:val="00A13115"/>
    <w:rsid w:val="00B8159B"/>
    <w:rsid w:val="00BA5AD9"/>
    <w:rsid w:val="00E62000"/>
    <w:rsid w:val="00EB586E"/>
    <w:rsid w:val="00FD7F06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A49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go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user</cp:lastModifiedBy>
  <cp:revision>26</cp:revision>
  <dcterms:created xsi:type="dcterms:W3CDTF">2019-02-20T10:49:00Z</dcterms:created>
  <dcterms:modified xsi:type="dcterms:W3CDTF">2019-06-04T11:29:00Z</dcterms:modified>
</cp:coreProperties>
</file>